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Ind w:w="4531" w:type="dxa"/>
        <w:tblLayout w:type="fixed"/>
        <w:tblLook w:val="04A0" w:firstRow="1" w:lastRow="0" w:firstColumn="1" w:lastColumn="0" w:noHBand="0" w:noVBand="1"/>
      </w:tblPr>
      <w:tblGrid>
        <w:gridCol w:w="5382"/>
      </w:tblGrid>
      <w:tr w:rsidR="00431FBD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431FBD" w:rsidRDefault="00431FBD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bookmarkStart w:id="0" w:name="_GoBack"/>
          </w:p>
        </w:tc>
      </w:tr>
    </w:tbl>
    <w:p w:rsidR="00431FBD" w:rsidRDefault="00974BF7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Онлайн-уроки и Игры по финансовой грамотности</w:t>
      </w:r>
    </w:p>
    <w:bookmarkEnd w:id="0"/>
    <w:p w:rsidR="00974BF7" w:rsidRDefault="00974BF7">
      <w:pPr>
        <w:spacing w:after="0" w:line="276" w:lineRule="auto"/>
        <w:jc w:val="center"/>
        <w:rPr>
          <w:rFonts w:ascii="Arial" w:hAnsi="Arial"/>
          <w:b/>
          <w:i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4106"/>
      </w:tblGrid>
      <w:tr w:rsidR="00431FBD">
        <w:tc>
          <w:tcPr>
            <w:tcW w:w="5807" w:type="dxa"/>
          </w:tcPr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Карточки</w:t>
            </w:r>
          </w:p>
        </w:tc>
        <w:tc>
          <w:tcPr>
            <w:tcW w:w="4106" w:type="dxa"/>
          </w:tcPr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Подводка</w:t>
            </w:r>
          </w:p>
        </w:tc>
      </w:tr>
      <w:tr w:rsidR="00431FBD">
        <w:trPr>
          <w:trHeight w:val="113"/>
        </w:trPr>
        <w:tc>
          <w:tcPr>
            <w:tcW w:w="9913" w:type="dxa"/>
            <w:gridSpan w:val="2"/>
          </w:tcPr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Онлайн-уроки и Игры по финансовой грамотности</w:t>
            </w:r>
          </w:p>
        </w:tc>
      </w:tr>
      <w:tr w:rsidR="00431FBD">
        <w:trPr>
          <w:trHeight w:val="11927"/>
        </w:trPr>
        <w:tc>
          <w:tcPr>
            <w:tcW w:w="5807" w:type="dxa"/>
          </w:tcPr>
          <w:p w:rsidR="00431FBD" w:rsidRDefault="00974BF7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764000" cy="17640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1FBD" w:rsidRDefault="00431FBD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4106" w:type="dxa"/>
          </w:tcPr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24 января 2024 года стартует</w:t>
            </w:r>
            <w:r>
              <w:rPr>
                <w:rFonts w:ascii="Times New Roman" w:hAnsi="Times New Roman"/>
              </w:rPr>
              <w:t xml:space="preserve"> весенняя сессия онлайн-уроков финансовой грамотности от Банка России. Мероприятия будут идти до 19 апреля 2024 года. Онлайн-уроки </w:t>
            </w:r>
            <w:proofErr w:type="gramStart"/>
            <w:r>
              <w:rPr>
                <w:rFonts w:ascii="Times New Roman" w:hAnsi="Times New Roman"/>
              </w:rPr>
              <w:t>доступны</w:t>
            </w:r>
            <w:proofErr w:type="gramEnd"/>
            <w:r>
              <w:rPr>
                <w:rFonts w:ascii="Times New Roman" w:hAnsi="Times New Roman"/>
              </w:rPr>
              <w:t xml:space="preserve"> для школ, техникумов и колледжей. К ним можно подключаться как целым классом, так и индивидуально из дома. Для участ</w:t>
            </w:r>
            <w:r>
              <w:rPr>
                <w:rFonts w:ascii="Times New Roman" w:hAnsi="Times New Roman"/>
              </w:rPr>
              <w:t xml:space="preserve">ия необходимо зарегистрироваться на сайте проекта </w:t>
            </w:r>
            <w:hyperlink r:id="rId14" w:history="1">
              <w:r>
                <w:rPr>
                  <w:rStyle w:val="ab"/>
                  <w:rFonts w:ascii="Times New Roman" w:hAnsi="Times New Roman"/>
                </w:rPr>
                <w:t>https://dni-fg.ru</w:t>
              </w:r>
            </w:hyperlink>
            <w:r>
              <w:rPr>
                <w:rFonts w:ascii="Times New Roman" w:hAnsi="Times New Roman"/>
              </w:rPr>
              <w:t xml:space="preserve">. Закрепить материал и узнать что-то новое поможет еще один проект Банка России — «Игры по финансовой грамотности». На сайте </w:t>
            </w:r>
            <w:hyperlink r:id="rId15" w:history="1">
              <w:r>
                <w:rPr>
                  <w:rStyle w:val="ab"/>
                  <w:rFonts w:ascii="Times New Roman" w:hAnsi="Times New Roman"/>
                </w:rPr>
                <w:t>ht</w:t>
              </w:r>
              <w:r>
                <w:rPr>
                  <w:rStyle w:val="ab"/>
                  <w:rFonts w:ascii="Times New Roman" w:hAnsi="Times New Roman"/>
                </w:rPr>
                <w:t>tps://doligra.ru</w:t>
              </w:r>
            </w:hyperlink>
            <w:r>
              <w:rPr>
                <w:rFonts w:ascii="Times New Roman" w:hAnsi="Times New Roman"/>
              </w:rPr>
              <w:t xml:space="preserve"> можно скачать готовые комплекты материалов для игр — их нужно только распечатать и начать играть. Подключайтесь!</w:t>
            </w: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31FBD" w:rsidRDefault="0097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сайт онлайн-уроков</w:t>
            </w:r>
          </w:p>
          <w:p w:rsidR="00431FBD" w:rsidRDefault="0097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431FBD" w:rsidRDefault="00974BF7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1323975" cy="1295400"/>
                  <wp:effectExtent l="0" t="0" r="0" b="0"/>
                  <wp:wrapNone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239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ab/>
            </w:r>
          </w:p>
          <w:p w:rsidR="00431FBD" w:rsidRDefault="00431FBD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431FBD" w:rsidRDefault="0097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на сайт игр </w:t>
            </w:r>
          </w:p>
          <w:p w:rsidR="00431FBD" w:rsidRDefault="00974B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431FBD" w:rsidRDefault="00974BF7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margin">
                    <wp:posOffset>629920</wp:posOffset>
                  </wp:positionH>
                  <wp:positionV relativeFrom="paragraph">
                    <wp:posOffset>64770</wp:posOffset>
                  </wp:positionV>
                  <wp:extent cx="1256030" cy="1256030"/>
                  <wp:effectExtent l="0" t="0" r="0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1FBD" w:rsidRDefault="00431FBD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FBD">
        <w:trPr>
          <w:trHeight w:val="113"/>
        </w:trPr>
        <w:tc>
          <w:tcPr>
            <w:tcW w:w="9913" w:type="dxa"/>
            <w:gridSpan w:val="2"/>
          </w:tcPr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Онлайн-занятия по финансовой грамотности для старшего поколения</w:t>
            </w:r>
          </w:p>
        </w:tc>
      </w:tr>
      <w:tr w:rsidR="00431FBD">
        <w:trPr>
          <w:trHeight w:val="8345"/>
        </w:trPr>
        <w:tc>
          <w:tcPr>
            <w:tcW w:w="5807" w:type="dxa"/>
          </w:tcPr>
          <w:p w:rsidR="00431FBD" w:rsidRDefault="00431FBD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431FBD" w:rsidRDefault="00974BF7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809750" cy="180975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</w:tcPr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31 января по 19 апреля 2024 года пройдут «Онлайн-занятия по финансовой грамотности для старшего поколения (pensionfg.ru)».</w:t>
            </w:r>
          </w:p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Слушатели узнают, как безопасно и эффективно пользоваться банко</w:t>
            </w:r>
            <w:r>
              <w:rPr>
                <w:rFonts w:ascii="Times New Roman" w:hAnsi="Times New Roman"/>
              </w:rPr>
              <w:t>вскими услугами, выбирать финансовые инструменты, использовать современные онлайн-технологии, быстро совершать безналичные платежи, распоряжаться своим имуществом, оформлять наследство, а также защищаться от мошенников. Расписание онлайн-занятий, специфика</w:t>
            </w:r>
            <w:r>
              <w:rPr>
                <w:rFonts w:ascii="Times New Roman" w:hAnsi="Times New Roman"/>
              </w:rPr>
              <w:t xml:space="preserve">ции по каждой теме, инструкции для подключения участников, иная информация размещены на сайте: </w:t>
            </w:r>
            <w:hyperlink r:id="rId19" w:history="1">
              <w:r>
                <w:rPr>
                  <w:rStyle w:val="ab"/>
                  <w:rFonts w:ascii="Times New Roman" w:hAnsi="Times New Roman"/>
                </w:rPr>
                <w:t>https://pensionfg.ru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97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сайт занятий для старшего поколения</w:t>
            </w:r>
          </w:p>
          <w:p w:rsidR="00431FBD" w:rsidRDefault="0097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финансовой грамотности </w:t>
            </w:r>
          </w:p>
          <w:p w:rsidR="00431FBD" w:rsidRDefault="00974BF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1256030" cy="1256030"/>
                  <wp:effectExtent l="0" t="0" r="0" b="0"/>
                  <wp:wrapNone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2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1FBD" w:rsidRDefault="00431FB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31FBD">
        <w:trPr>
          <w:trHeight w:val="113"/>
        </w:trPr>
        <w:tc>
          <w:tcPr>
            <w:tcW w:w="9913" w:type="dxa"/>
            <w:gridSpan w:val="2"/>
          </w:tcPr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Игры по финансовой грамотности</w:t>
            </w:r>
          </w:p>
        </w:tc>
      </w:tr>
      <w:tr w:rsidR="00431FBD">
        <w:trPr>
          <w:trHeight w:val="9376"/>
        </w:trPr>
        <w:tc>
          <w:tcPr>
            <w:tcW w:w="5807" w:type="dxa"/>
          </w:tcPr>
          <w:p w:rsidR="00431FBD" w:rsidRDefault="00431FB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31FBD" w:rsidRDefault="00974BF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764000" cy="17640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  <w:vAlign w:val="center"/>
          </w:tcPr>
          <w:p w:rsidR="00431FBD" w:rsidRDefault="00974BF7">
            <w:pPr>
              <w:jc w:val="center"/>
              <w:rPr>
                <w:rFonts w:ascii="System Font" w:hAnsi="System Font"/>
              </w:rPr>
            </w:pPr>
            <w:r>
              <w:rPr>
                <w:rFonts w:ascii="Times New Roman" w:hAnsi="Times New Roman"/>
              </w:rPr>
              <w:t xml:space="preserve">Проект Банка России «Игры по финансовой грамотности (dol-igra.ru)». На сайте </w:t>
            </w:r>
            <w:hyperlink r:id="rId21" w:history="1">
              <w:r>
                <w:rPr>
                  <w:rStyle w:val="ab"/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можно скачать готовые комплекты игр, которые остается только распечатать и начать играть.</w:t>
            </w:r>
            <w:r>
              <w:rPr>
                <w:rFonts w:ascii=".SFUI-Regular" w:hAnsi=".SFUI-Regular"/>
              </w:rPr>
              <w:t xml:space="preserve"> </w:t>
            </w:r>
            <w:r>
              <w:rPr>
                <w:rFonts w:ascii="Times New Roman" w:hAnsi="Times New Roman"/>
              </w:rPr>
              <w:t>Игры помогут разнообразить учебный процесс или организовать досуг детей в увлекательной и полезной форме. Формат игр позволяет использовать их для проведения занятий в детских лагерях отдыха</w:t>
            </w:r>
          </w:p>
          <w:p w:rsidR="00431FBD" w:rsidRDefault="00431FBD">
            <w:pPr>
              <w:jc w:val="center"/>
              <w:rPr>
                <w:rFonts w:ascii="System Font" w:hAnsi="System Font"/>
              </w:rPr>
            </w:pPr>
          </w:p>
          <w:p w:rsidR="00431FBD" w:rsidRDefault="00974BF7">
            <w:pPr>
              <w:jc w:val="center"/>
              <w:rPr>
                <w:rFonts w:ascii="System Font" w:hAnsi="System Font"/>
              </w:rPr>
            </w:pPr>
            <w:r>
              <w:rPr>
                <w:rFonts w:ascii="Times New Roman" w:hAnsi="Times New Roman"/>
              </w:rPr>
              <w:t xml:space="preserve">На сайте </w:t>
            </w:r>
            <w:hyperlink r:id="rId22" w:history="1">
              <w:r>
                <w:rPr>
                  <w:rStyle w:val="ab"/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пре</w:t>
            </w:r>
            <w:r>
              <w:rPr>
                <w:rFonts w:ascii="Times New Roman" w:hAnsi="Times New Roman"/>
              </w:rPr>
              <w:t>дставлены сценарии игр по финансовой грамотности для школьников от 6 до 17 лет</w:t>
            </w:r>
          </w:p>
          <w:p w:rsidR="00431FBD" w:rsidRDefault="00974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самых младших школьников 6-8 лет можно провести настольную</w:t>
            </w:r>
            <w:r>
              <w:rPr>
                <w:rFonts w:ascii=".SFUI-Regular" w:hAnsi=".SFUI-Regular"/>
              </w:rPr>
              <w:t xml:space="preserve">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игру Шаги к успеху</w:t>
              </w:r>
            </w:hyperlink>
          </w:p>
          <w:p w:rsidR="00431FBD" w:rsidRDefault="00431FBD">
            <w:pPr>
              <w:rPr>
                <w:rFonts w:ascii="System Font" w:hAnsi="System Font"/>
              </w:rPr>
            </w:pPr>
          </w:p>
          <w:p w:rsidR="00431FBD" w:rsidRDefault="0097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Организаторы игр получат </w:t>
            </w:r>
            <w:r>
              <w:rPr>
                <w:rFonts w:ascii="Times New Roman" w:hAnsi="Times New Roman"/>
              </w:rPr>
              <w:t>сертификаты участников после направления отчета. Подключайтесь!</w:t>
            </w:r>
          </w:p>
          <w:p w:rsidR="00431FBD" w:rsidRDefault="00431FBD">
            <w:pPr>
              <w:jc w:val="center"/>
              <w:rPr>
                <w:rFonts w:ascii="Times New Roman" w:hAnsi="Times New Roman"/>
              </w:rPr>
            </w:pPr>
          </w:p>
          <w:p w:rsidR="00431FBD" w:rsidRDefault="0097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на сайт игр </w:t>
            </w:r>
          </w:p>
          <w:p w:rsidR="00431FBD" w:rsidRDefault="00974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431FBD" w:rsidRDefault="00974B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629920</wp:posOffset>
                  </wp:positionH>
                  <wp:positionV relativeFrom="paragraph">
                    <wp:posOffset>64770</wp:posOffset>
                  </wp:positionV>
                  <wp:extent cx="1256030" cy="1256030"/>
                  <wp:effectExtent l="0" t="0" r="0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1FBD" w:rsidRDefault="00431FB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jc w:val="center"/>
              <w:rPr>
                <w:rFonts w:ascii="Times New Roman" w:hAnsi="Times New Roman"/>
              </w:rPr>
            </w:pPr>
          </w:p>
          <w:p w:rsidR="00431FBD" w:rsidRDefault="00431FB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31FBD" w:rsidRDefault="00431FBD">
      <w:pPr>
        <w:spacing w:after="0" w:line="276" w:lineRule="auto"/>
        <w:rPr>
          <w:rFonts w:ascii="Arial" w:hAnsi="Arial"/>
          <w:b/>
          <w:i/>
        </w:rPr>
      </w:pPr>
    </w:p>
    <w:sectPr w:rsidR="00431FBD">
      <w:headerReference w:type="default" r:id="rId24"/>
      <w:pgSz w:w="11906" w:h="16838"/>
      <w:pgMar w:top="567" w:right="707" w:bottom="426" w:left="1276" w:header="708" w:footer="708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4BF7">
      <w:pPr>
        <w:spacing w:after="0" w:line="240" w:lineRule="auto"/>
      </w:pPr>
      <w:r>
        <w:separator/>
      </w:r>
    </w:p>
  </w:endnote>
  <w:endnote w:type="continuationSeparator" w:id="0">
    <w:p w:rsidR="00000000" w:rsidRDefault="0097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 Font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4BF7">
      <w:pPr>
        <w:spacing w:after="0" w:line="240" w:lineRule="auto"/>
      </w:pPr>
      <w:r>
        <w:separator/>
      </w:r>
    </w:p>
  </w:footnote>
  <w:footnote w:type="continuationSeparator" w:id="0">
    <w:p w:rsidR="00000000" w:rsidRDefault="0097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FBD" w:rsidRDefault="00431FBD">
    <w:pPr>
      <w:pStyle w:val="a7"/>
      <w:jc w:val="center"/>
    </w:pPr>
  </w:p>
  <w:p w:rsidR="00431FBD" w:rsidRDefault="00431F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BD"/>
    <w:rsid w:val="00431FBD"/>
    <w:rsid w:val="009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9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120">
    <w:name w:val="Классика12"/>
    <w:basedOn w:val="12"/>
    <w:link w:val="121"/>
    <w:rPr>
      <w:rFonts w:ascii="Times New Roman" w:hAnsi="Times New Roman"/>
      <w:sz w:val="24"/>
      <w:u w:val="single"/>
    </w:rPr>
  </w:style>
  <w:style w:type="character" w:customStyle="1" w:styleId="121">
    <w:name w:val="Классика12"/>
    <w:basedOn w:val="a0"/>
    <w:link w:val="120"/>
    <w:rPr>
      <w:rFonts w:ascii="Times New Roman" w:hAnsi="Times New Roman"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Pr>
      <w:color w:val="0563C1" w:themeColor="hyperlink"/>
      <w:u w:val="single"/>
    </w:rPr>
  </w:style>
  <w:style w:type="character" w:styleId="ab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ligra.r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emf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ligra.ru" TargetMode="External"/><Relationship Id="rId23" Type="http://schemas.openxmlformats.org/officeDocument/2006/relationships/hyperlink" Target="https://doligra.ru/members/login?redirecturl=stepuspeh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pensionfg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ni-fg.ru" TargetMode="External"/><Relationship Id="rId22" Type="http://schemas.openxmlformats.org/officeDocument/2006/relationships/hyperlink" Target="https://doli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Крюковская СОШ</cp:lastModifiedBy>
  <cp:revision>2</cp:revision>
  <dcterms:created xsi:type="dcterms:W3CDTF">2024-02-21T07:21:00Z</dcterms:created>
  <dcterms:modified xsi:type="dcterms:W3CDTF">2024-02-21T07:23:00Z</dcterms:modified>
</cp:coreProperties>
</file>